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81" w:rsidRDefault="00A538C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9231CB" w:rsidRPr="009231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Найдены двухпетлевые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радиационные поправки к сечению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−→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γγ</w:t>
      </w:r>
      <w:proofErr w:type="spellEnd"/>
      <w:r>
        <w:rPr>
          <w:rFonts w:ascii="Cambria Math" w:eastAsia="Times New Roman" w:hAnsi="Cambria Math" w:cs="Cambria Math"/>
          <w:b/>
          <w:bCs/>
          <w:color w:val="222222"/>
          <w:sz w:val="24"/>
          <w:szCs w:val="24"/>
          <w:lang w:eastAsia="ru-RU"/>
        </w:rPr>
        <w:t>∗</w:t>
      </w:r>
    </w:p>
    <w:p w:rsidR="00BE7F81" w:rsidRDefault="00A538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BE7F81" w:rsidRDefault="00A538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Авторы: В.С Фадин, Р.Н. Ли</w:t>
      </w:r>
    </w:p>
    <w:p w:rsidR="00BE7F81" w:rsidRPr="000912EB" w:rsidRDefault="000912EB">
      <w:pPr>
        <w:spacing w:line="276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78208" behindDoc="0" locked="0" layoutInCell="0" allowOverlap="1">
            <wp:simplePos x="0" y="0"/>
            <wp:positionH relativeFrom="column">
              <wp:posOffset>956945</wp:posOffset>
            </wp:positionH>
            <wp:positionV relativeFrom="paragraph">
              <wp:posOffset>5988685</wp:posOffset>
            </wp:positionV>
            <wp:extent cx="4086860" cy="650875"/>
            <wp:effectExtent l="0" t="0" r="0" b="0"/>
            <wp:wrapTopAndBottom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560" behindDoc="0" locked="0" layoutInCell="0" allowOverlap="1">
            <wp:simplePos x="0" y="0"/>
            <wp:positionH relativeFrom="column">
              <wp:posOffset>-38100</wp:posOffset>
            </wp:positionH>
            <wp:positionV relativeFrom="paragraph">
              <wp:posOffset>2118995</wp:posOffset>
            </wp:positionV>
            <wp:extent cx="5940425" cy="32200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Растущая точность текущих и планируемых экспериментов по измерению аномального магнитного момента мюона требует большей точности и надежности теоретического предсказания для этой величины. В настоящей работе впервые вычислено дифференциальное сечение процесса аннигиляции электрон-позитронной пары на два фотона, один из которых виртуальный, с учётом вклада излучения мягких фотонов, с точностью </w:t>
      </w:r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α</w:t>
      </w:r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2</w:t>
      </w:r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Полученные результаты необходимы для повышения точности вклада </w:t>
      </w:r>
      <w:proofErr w:type="spellStart"/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адронной</w:t>
      </w:r>
      <w:proofErr w:type="spellEnd"/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вакуумной поляризации в аномальный момент мюона. Показано, что все логарифмически усиленные поправки указанного порядка легко найти, используя современные теоремы мягкой и коллине</w:t>
      </w:r>
      <w:r w:rsidR="00A538C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арной факторизации и имеющиеся </w:t>
      </w:r>
      <w:proofErr w:type="spellStart"/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однопетлевые</w:t>
      </w:r>
      <w:proofErr w:type="spellEnd"/>
      <w:r w:rsidR="00A538C8" w:rsidRPr="000912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результаты.</w:t>
      </w:r>
    </w:p>
    <w:p w:rsidR="00BE7F81" w:rsidRDefault="00A538C8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956945</wp:posOffset>
            </wp:positionH>
            <wp:positionV relativeFrom="paragraph">
              <wp:posOffset>3219450</wp:posOffset>
            </wp:positionV>
            <wp:extent cx="4020185" cy="652145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F81" w:rsidRPr="000912EB" w:rsidRDefault="00C442EE">
      <w:pPr>
        <w:spacing w:line="276" w:lineRule="auto"/>
        <w:jc w:val="both"/>
      </w:pPr>
      <w:r>
        <w:rPr>
          <w:rFonts w:eastAsia="Times New Roman" w:cs="Times New Roman"/>
          <w:color w:val="000000"/>
          <w:szCs w:val="20"/>
          <w:lang w:eastAsia="ru-RU"/>
        </w:rPr>
        <w:t xml:space="preserve">Рис. 1 </w:t>
      </w:r>
      <w:r w:rsidR="00A538C8">
        <w:rPr>
          <w:rFonts w:eastAsia="Times New Roman" w:cs="Times New Roman"/>
          <w:color w:val="000000"/>
          <w:szCs w:val="20"/>
          <w:lang w:eastAsia="ru-RU"/>
        </w:rPr>
        <w:t>Д</w:t>
      </w:r>
      <w:r w:rsidR="00A538C8">
        <w:rPr>
          <w:color w:val="000000"/>
        </w:rPr>
        <w:t xml:space="preserve">иаграммы Фейнмана, дающие вклад в амплитуду </w:t>
      </w:r>
      <w:proofErr w:type="gramStart"/>
      <w:r w:rsidR="00A538C8">
        <w:rPr>
          <w:color w:val="000000"/>
        </w:rPr>
        <w:t xml:space="preserve">процесса  </w:t>
      </w:r>
      <w:proofErr w:type="spellStart"/>
      <w:r w:rsidR="00A538C8">
        <w:rPr>
          <w:color w:val="000000"/>
        </w:rPr>
        <w:t>e</w:t>
      </w:r>
      <w:proofErr w:type="gramEnd"/>
      <w:r w:rsidR="00A538C8">
        <w:rPr>
          <w:color w:val="000000"/>
        </w:rPr>
        <w:t>+e</w:t>
      </w:r>
      <w:proofErr w:type="spellEnd"/>
      <w:r w:rsidR="00A538C8">
        <w:rPr>
          <w:color w:val="000000"/>
        </w:rPr>
        <w:t>−→</w:t>
      </w:r>
      <w:proofErr w:type="spellStart"/>
      <w:r w:rsidR="00A538C8">
        <w:rPr>
          <w:color w:val="000000"/>
        </w:rPr>
        <w:t>γγ</w:t>
      </w:r>
      <w:proofErr w:type="spellEnd"/>
      <w:r w:rsidR="00A538C8">
        <w:rPr>
          <w:color w:val="000000"/>
        </w:rPr>
        <w:t>∗ в порядке α</w:t>
      </w:r>
      <w:r w:rsidR="00A538C8">
        <w:rPr>
          <w:color w:val="000000"/>
          <w:position w:val="7"/>
        </w:rPr>
        <w:t>2</w:t>
      </w:r>
      <w:r w:rsidR="00A538C8">
        <w:rPr>
          <w:rFonts w:ascii="0" w:hAnsi="0"/>
          <w:color w:val="000000"/>
        </w:rPr>
        <w:t>.</w:t>
      </w:r>
    </w:p>
    <w:p w:rsidR="00BE7F81" w:rsidRDefault="00A538C8">
      <w:pPr>
        <w:spacing w:line="276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</w:t>
      </w:r>
      <w:r w:rsidRPr="000912E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0912EB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V.S. Fadin, R.N. Lee, Two-loop radiative corrections to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e+e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−→</w:t>
      </w:r>
      <w:proofErr w:type="spellStart"/>
      <w:r>
        <w:rPr>
          <w:rFonts w:ascii="Times New Roman" w:hAnsi="Times New Roman" w:cs="Times New Roman"/>
          <w:color w:val="000000"/>
        </w:rPr>
        <w:t>γγ</w:t>
      </w:r>
      <w:proofErr w:type="spellEnd"/>
      <w:r>
        <w:rPr>
          <w:rFonts w:ascii="Cambria Math" w:hAnsi="Cambria Math" w:cs="Cambria Math"/>
          <w:color w:val="000000"/>
          <w:lang w:val="en-US"/>
        </w:rPr>
        <w:t>∗</w:t>
      </w:r>
      <w:r>
        <w:rPr>
          <w:rFonts w:ascii="Times New Roman" w:hAnsi="Times New Roman" w:cs="Times New Roman"/>
          <w:color w:val="000000"/>
          <w:lang w:val="en-US"/>
        </w:rPr>
        <w:t xml:space="preserve"> cross section, </w:t>
      </w:r>
    </w:p>
    <w:p w:rsidR="00BE7F81" w:rsidRPr="000912EB" w:rsidRDefault="00A538C8">
      <w:pPr>
        <w:spacing w:line="276" w:lineRule="auto"/>
        <w:jc w:val="both"/>
        <w:rPr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JHEP11(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2023)148 </w:t>
      </w:r>
      <w:hyperlink r:id="rId8">
        <w:r>
          <w:rPr>
            <w:rStyle w:val="a3"/>
            <w:rFonts w:ascii="Times New Roman" w:hAnsi="Times New Roman" w:cs="Times New Roman"/>
            <w:lang w:val="en-US"/>
          </w:rPr>
          <w:t>https://doi.org/10.1007/JHEP11(2023)148</w:t>
        </w:r>
      </w:hyperlink>
      <w:r>
        <w:rPr>
          <w:rFonts w:ascii="Times New Roman" w:hAnsi="Times New Roman" w:cs="Times New Roman"/>
          <w:color w:val="000000"/>
          <w:lang w:val="en-US"/>
        </w:rPr>
        <w:t>.</w:t>
      </w:r>
    </w:p>
    <w:p w:rsidR="00BE7F81" w:rsidRDefault="00A538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912EB">
        <w:rPr>
          <w:rFonts w:ascii="Times New Roman" w:hAnsi="Times New Roman" w:cs="Times New Roman"/>
          <w:sz w:val="24"/>
          <w:szCs w:val="24"/>
          <w:lang w:eastAsia="ar-SA"/>
        </w:rPr>
        <w:t>Грант РНФ 22-22-00923.</w:t>
      </w:r>
    </w:p>
    <w:sectPr w:rsidR="00BE7F8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0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BE7F81"/>
    <w:rsid w:val="000912EB"/>
    <w:rsid w:val="002B5691"/>
    <w:rsid w:val="008F0BE0"/>
    <w:rsid w:val="009231CB"/>
    <w:rsid w:val="00A538C8"/>
    <w:rsid w:val="00BE7F81"/>
    <w:rsid w:val="00C4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693FA-0C54-412C-A140-0195977F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">
    <w:name w:val="Объект без заливки"/>
    <w:basedOn w:val="a"/>
    <w:qFormat/>
    <w:pPr>
      <w:spacing w:after="0" w:line="200" w:lineRule="atLeast"/>
    </w:pPr>
    <w:rPr>
      <w:rFonts w:ascii="Lohit Devanagari" w:hAnsi="Lohit Devanagari"/>
      <w:kern w:val="2"/>
      <w:sz w:val="36"/>
    </w:rPr>
  </w:style>
  <w:style w:type="paragraph" w:customStyle="1" w:styleId="ac">
    <w:name w:val="Объект без заливки и линий"/>
    <w:basedOn w:val="a"/>
    <w:qFormat/>
    <w:pPr>
      <w:spacing w:after="0" w:line="200" w:lineRule="atLeast"/>
    </w:pPr>
    <w:rPr>
      <w:rFonts w:ascii="Lohit Devanagari" w:hAnsi="Lohit Devanagari"/>
      <w:kern w:val="2"/>
      <w:sz w:val="36"/>
    </w:rPr>
  </w:style>
  <w:style w:type="paragraph" w:customStyle="1" w:styleId="A40">
    <w:name w:val="A4"/>
    <w:basedOn w:val="ad"/>
    <w:qFormat/>
    <w:rPr>
      <w:rFonts w:ascii="Noto Sans" w:hAnsi="Noto Sans"/>
      <w:sz w:val="36"/>
    </w:rPr>
  </w:style>
  <w:style w:type="paragraph" w:styleId="ad">
    <w:name w:val="Plain Text"/>
    <w:basedOn w:val="a8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d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e">
    <w:name w:val="Графика"/>
    <w:qFormat/>
    <w:rPr>
      <w:rFonts w:ascii="Liberation Sans" w:eastAsia="DejaVu Sans" w:hAnsi="Liberation Sans" w:cs="Calibri Light"/>
      <w:sz w:val="36"/>
      <w:szCs w:val="24"/>
    </w:rPr>
  </w:style>
  <w:style w:type="paragraph" w:customStyle="1" w:styleId="af">
    <w:name w:val="Фигуры"/>
    <w:basedOn w:val="ae"/>
    <w:qFormat/>
    <w:rPr>
      <w:b/>
      <w:sz w:val="28"/>
    </w:rPr>
  </w:style>
  <w:style w:type="paragraph" w:customStyle="1" w:styleId="af0">
    <w:name w:val="Заливка"/>
    <w:basedOn w:val="af"/>
    <w:qFormat/>
  </w:style>
  <w:style w:type="paragraph" w:customStyle="1" w:styleId="af1">
    <w:name w:val="Заливка синим"/>
    <w:basedOn w:val="af0"/>
    <w:qFormat/>
    <w:rPr>
      <w:color w:val="FFFFFF"/>
    </w:rPr>
  </w:style>
  <w:style w:type="paragraph" w:customStyle="1" w:styleId="af2">
    <w:name w:val="Заливка зелёным"/>
    <w:basedOn w:val="af0"/>
    <w:qFormat/>
    <w:rPr>
      <w:color w:val="FFFFFF"/>
    </w:rPr>
  </w:style>
  <w:style w:type="paragraph" w:customStyle="1" w:styleId="af3">
    <w:name w:val="Заливка красным"/>
    <w:basedOn w:val="af0"/>
    <w:qFormat/>
    <w:rPr>
      <w:color w:val="FFFFFF"/>
    </w:rPr>
  </w:style>
  <w:style w:type="paragraph" w:customStyle="1" w:styleId="af4">
    <w:name w:val="Заливка жёлтым"/>
    <w:basedOn w:val="af0"/>
    <w:qFormat/>
    <w:rPr>
      <w:color w:val="FFFFFF"/>
    </w:rPr>
  </w:style>
  <w:style w:type="paragraph" w:customStyle="1" w:styleId="af5">
    <w:name w:val="Контур"/>
    <w:basedOn w:val="af"/>
    <w:qFormat/>
  </w:style>
  <w:style w:type="paragraph" w:customStyle="1" w:styleId="af6">
    <w:name w:val="Контур синий"/>
    <w:basedOn w:val="af5"/>
    <w:qFormat/>
    <w:rPr>
      <w:color w:val="355269"/>
    </w:rPr>
  </w:style>
  <w:style w:type="paragraph" w:customStyle="1" w:styleId="af7">
    <w:name w:val="Контур зелёный"/>
    <w:basedOn w:val="af5"/>
    <w:qFormat/>
    <w:rPr>
      <w:color w:val="127622"/>
    </w:rPr>
  </w:style>
  <w:style w:type="paragraph" w:customStyle="1" w:styleId="af8">
    <w:name w:val="Контур красный"/>
    <w:basedOn w:val="af5"/>
    <w:qFormat/>
    <w:rPr>
      <w:color w:val="C9211E"/>
    </w:rPr>
  </w:style>
  <w:style w:type="paragraph" w:customStyle="1" w:styleId="af9">
    <w:name w:val="Контур жёлтый"/>
    <w:basedOn w:val="af5"/>
    <w:qFormat/>
    <w:rPr>
      <w:color w:val="B47804"/>
    </w:rPr>
  </w:style>
  <w:style w:type="paragraph" w:customStyle="1" w:styleId="afa">
    <w:name w:val="Линии"/>
    <w:basedOn w:val="ae"/>
    <w:qFormat/>
  </w:style>
  <w:style w:type="paragraph" w:customStyle="1" w:styleId="afb">
    <w:name w:val="Стрелки"/>
    <w:basedOn w:val="afa"/>
    <w:qFormat/>
  </w:style>
  <w:style w:type="paragraph" w:customStyle="1" w:styleId="afc">
    <w:name w:val="Штриховая линия"/>
    <w:basedOn w:val="afa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Lohit Devanagari" w:eastAsia="DejaVu Sans" w:hAnsi="Lohit Devanagari" w:cs="Calibri Light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ohit Devanagari" w:eastAsia="DejaVu Sans" w:hAnsi="Lohit Devanagari" w:cs="Calibri Light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ohit Devanagari" w:eastAsia="DejaVu Sans" w:hAnsi="Lohit Devanagari" w:cs="Calibri Light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ohit Devanagari" w:eastAsia="DejaVu Sans" w:hAnsi="Lohit Devanagari" w:cs="Calibri Light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DejaVu Sans" w:hAnsi="Liberation Serif" w:cs="Calibri Light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DejaVu Sans" w:hAnsi="Liberation Serif" w:cs="Calibri Light"/>
      <w:kern w:val="2"/>
      <w:sz w:val="24"/>
      <w:szCs w:val="24"/>
    </w:rPr>
  </w:style>
  <w:style w:type="paragraph" w:customStyle="1" w:styleId="default">
    <w:name w:val="default"/>
    <w:qFormat/>
    <w:rPr>
      <w:rFonts w:ascii="Lohit Devanagari" w:eastAsia="DejaVu Sans" w:hAnsi="Lohit Devanagari" w:cs="Calibri Light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d">
    <w:name w:val="Объекты фона"/>
    <w:qFormat/>
    <w:rPr>
      <w:rFonts w:ascii="Liberation Serif" w:eastAsia="DejaVu Sans" w:hAnsi="Liberation Serif" w:cs="Calibri Light"/>
      <w:kern w:val="2"/>
      <w:sz w:val="24"/>
      <w:szCs w:val="24"/>
    </w:rPr>
  </w:style>
  <w:style w:type="paragraph" w:customStyle="1" w:styleId="afe">
    <w:name w:val="Фон"/>
    <w:qFormat/>
    <w:rPr>
      <w:rFonts w:ascii="Liberation Serif" w:eastAsia="DejaVu Sans" w:hAnsi="Liberation Serif" w:cs="Calibri Light"/>
      <w:kern w:val="2"/>
      <w:sz w:val="24"/>
      <w:szCs w:val="24"/>
    </w:rPr>
  </w:style>
  <w:style w:type="paragraph" w:customStyle="1" w:styleId="aff">
    <w:name w:val="Примечания"/>
    <w:qFormat/>
    <w:pPr>
      <w:ind w:left="340" w:hanging="340"/>
    </w:pPr>
    <w:rPr>
      <w:rFonts w:ascii="Lohit Devanagari" w:eastAsia="DejaVu Sans" w:hAnsi="Lohit Devanagari" w:cs="Calibri Light"/>
      <w:kern w:val="2"/>
      <w:sz w:val="40"/>
      <w:szCs w:val="24"/>
    </w:rPr>
  </w:style>
  <w:style w:type="paragraph" w:customStyle="1" w:styleId="10">
    <w:name w:val="Структура 1"/>
    <w:qFormat/>
    <w:pPr>
      <w:spacing w:before="283"/>
    </w:pPr>
    <w:rPr>
      <w:rFonts w:ascii="Lohit Devanagari" w:eastAsia="DejaVu Sans" w:hAnsi="Lohit Devanagari" w:cs="Calibri Light"/>
      <w:kern w:val="2"/>
      <w:sz w:val="64"/>
      <w:szCs w:val="24"/>
    </w:rPr>
  </w:style>
  <w:style w:type="paragraph" w:customStyle="1" w:styleId="2">
    <w:name w:val="Структура 2"/>
    <w:basedOn w:val="10"/>
    <w:qFormat/>
    <w:pPr>
      <w:spacing w:before="227"/>
    </w:pPr>
    <w:rPr>
      <w:sz w:val="56"/>
    </w:rPr>
  </w:style>
  <w:style w:type="paragraph" w:customStyle="1" w:styleId="3">
    <w:name w:val="Структура 3"/>
    <w:basedOn w:val="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JHEP11(2023)1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754F-61FB-4E33-97CC-D6CA673E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174</Words>
  <Characters>994</Characters>
  <Application>Microsoft Office Word</Application>
  <DocSecurity>0</DocSecurity>
  <Lines>8</Lines>
  <Paragraphs>2</Paragraphs>
  <ScaleCrop>false</ScaleCrop>
  <Company>BINP SB RAS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32</cp:revision>
  <dcterms:created xsi:type="dcterms:W3CDTF">2020-12-02T03:09:00Z</dcterms:created>
  <dcterms:modified xsi:type="dcterms:W3CDTF">2023-11-28T09:54:00Z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