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71F7F" w14:textId="300ABA5C" w:rsidR="00AC3F78" w:rsidRDefault="009C3B5A" w:rsidP="001C5AD1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AC3F78" w:rsidRPr="00AC3F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Исследование поперечной неустойчивости </w:t>
      </w:r>
      <w:proofErr w:type="spellStart"/>
      <w:r w:rsidR="00AC3F78" w:rsidRPr="00AC3F78">
        <w:rPr>
          <w:rFonts w:ascii="Times New Roman" w:eastAsia="Calibri" w:hAnsi="Times New Roman" w:cs="Times New Roman"/>
          <w:b/>
          <w:bCs/>
          <w:sz w:val="24"/>
          <w:szCs w:val="24"/>
        </w:rPr>
        <w:t>килоамперного</w:t>
      </w:r>
      <w:proofErr w:type="spellEnd"/>
      <w:r w:rsidR="00AC3F78" w:rsidRPr="00AC3F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пучка и способов ее подавления в линейном индукционном ускорителе</w:t>
      </w:r>
    </w:p>
    <w:p w14:paraId="7BB0262C" w14:textId="77777777"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Будкера СО РАН</w:t>
      </w:r>
    </w:p>
    <w:p w14:paraId="2FB55A6D" w14:textId="77777777" w:rsidR="00AC3F78" w:rsidRPr="00AC3F78" w:rsidRDefault="009C3B5A" w:rsidP="001C5AD1">
      <w:pPr>
        <w:shd w:val="clear" w:color="auto" w:fill="FFFFFF"/>
        <w:spacing w:line="360" w:lineRule="auto"/>
        <w:jc w:val="center"/>
        <w:rPr>
          <w:color w:val="222222"/>
          <w:lang w:eastAsia="ru-RU"/>
        </w:rPr>
      </w:pPr>
      <w:r w:rsidRPr="001C5AD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Авторы: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C3F78" w:rsidRPr="00AC3F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С.Л. Синицкий, Е.С. Сандалов, Д.И. </w:t>
      </w:r>
      <w:proofErr w:type="spellStart"/>
      <w:r w:rsidR="00AC3F78" w:rsidRPr="00AC3F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Сковородин</w:t>
      </w:r>
      <w:proofErr w:type="spellEnd"/>
      <w:r w:rsidR="00AC3F78" w:rsidRPr="00AC3F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П.В. </w:t>
      </w:r>
      <w:proofErr w:type="spellStart"/>
      <w:r w:rsidR="00AC3F78" w:rsidRPr="00AC3F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Логачев</w:t>
      </w:r>
      <w:proofErr w:type="spellEnd"/>
      <w:r w:rsidR="00AC3F78" w:rsidRPr="00AC3F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А.В. </w:t>
      </w:r>
      <w:proofErr w:type="spellStart"/>
      <w:r w:rsidR="00AC3F78" w:rsidRPr="00AC3F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Бурдаков</w:t>
      </w:r>
      <w:proofErr w:type="spellEnd"/>
      <w:r w:rsidR="00AC3F78" w:rsidRPr="00AC3F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П.А. Бак, Д.А. Никифоров, К.И. </w:t>
      </w:r>
      <w:proofErr w:type="spellStart"/>
      <w:r w:rsidR="00AC3F78" w:rsidRPr="00AC3F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Живанков</w:t>
      </w:r>
      <w:proofErr w:type="spellEnd"/>
      <w:r w:rsidR="00AC3F78" w:rsidRPr="00AC3F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Е.К. </w:t>
      </w:r>
      <w:proofErr w:type="spellStart"/>
      <w:r w:rsidR="00AC3F78" w:rsidRPr="00AC3F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Кенжебулатов</w:t>
      </w:r>
      <w:proofErr w:type="spellEnd"/>
      <w:r w:rsidR="00AC3F78" w:rsidRPr="00AC3F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5B5AC590" w14:textId="312A695E" w:rsidR="00F81FE8" w:rsidRDefault="00AC3F78" w:rsidP="00F81FE8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FE8">
        <w:rPr>
          <w:rFonts w:ascii="Times New Roman" w:hAnsi="Times New Roman" w:cs="Times New Roman"/>
          <w:bCs/>
          <w:sz w:val="24"/>
          <w:szCs w:val="24"/>
        </w:rPr>
        <w:t xml:space="preserve">Проведены теоретические и экспериментальные исследования развития поперечной неустойчивости </w:t>
      </w:r>
      <w:proofErr w:type="spellStart"/>
      <w:r w:rsidRPr="00F81FE8">
        <w:rPr>
          <w:rFonts w:ascii="Times New Roman" w:hAnsi="Times New Roman" w:cs="Times New Roman"/>
          <w:bCs/>
          <w:sz w:val="24"/>
          <w:szCs w:val="24"/>
        </w:rPr>
        <w:t>килоамперного</w:t>
      </w:r>
      <w:proofErr w:type="spellEnd"/>
      <w:r w:rsidRPr="00F81FE8">
        <w:rPr>
          <w:rFonts w:ascii="Times New Roman" w:hAnsi="Times New Roman" w:cs="Times New Roman"/>
          <w:bCs/>
          <w:sz w:val="24"/>
          <w:szCs w:val="24"/>
        </w:rPr>
        <w:t xml:space="preserve"> пучка в линейном индукционном ускорителе (ЛИУ) с дискретной фокусирующей системой. Для моделирования возбуждения и развития этой неустойчивости создан программный комплекс. Продемонстрировано, что расчетное и экспериментальное значения инкремента </w:t>
      </w:r>
      <w:r w:rsidR="00F81FE8" w:rsidRPr="00F81FE8">
        <w:rPr>
          <w:rFonts w:ascii="Times New Roman" w:hAnsi="Times New Roman" w:cs="Times New Roman"/>
          <w:bCs/>
          <w:sz w:val="24"/>
          <w:szCs w:val="24"/>
        </w:rPr>
        <w:t xml:space="preserve">неустойчивости </w:t>
      </w:r>
      <w:r w:rsidRPr="00F81FE8">
        <w:rPr>
          <w:rFonts w:ascii="Times New Roman" w:hAnsi="Times New Roman" w:cs="Times New Roman"/>
          <w:bCs/>
          <w:sz w:val="24"/>
          <w:szCs w:val="24"/>
        </w:rPr>
        <w:t>совпадают в пределах его ошибки измерения, которая имеет величину не более 20 %</w:t>
      </w:r>
      <w:r w:rsidR="00F81FE8" w:rsidRPr="00F81FE8">
        <w:rPr>
          <w:rFonts w:ascii="Times New Roman" w:hAnsi="Times New Roman" w:cs="Times New Roman"/>
          <w:bCs/>
          <w:sz w:val="24"/>
          <w:szCs w:val="24"/>
        </w:rPr>
        <w:t>. Предложены и реализованы в действующем ускорителе эффективные способы подавления поперечных колебаний пучка при его распространении в ЛИУ. Достигнута необходимая степень подавления неустойчивости пучка при его проектных параметрах.</w:t>
      </w:r>
    </w:p>
    <w:p w14:paraId="43191058" w14:textId="6C95BEDB" w:rsidR="003D6896" w:rsidRDefault="003D6896" w:rsidP="0083285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5F30E556" wp14:editId="7F722132">
            <wp:extent cx="5758506" cy="198945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36"/>
                    <a:stretch/>
                  </pic:blipFill>
                  <pic:spPr bwMode="auto">
                    <a:xfrm>
                      <a:off x="0" y="0"/>
                      <a:ext cx="5758506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09240F" w14:textId="7A098116" w:rsidR="003D6896" w:rsidRPr="001C5AD1" w:rsidRDefault="003D6896" w:rsidP="001C5AD1">
      <w:pPr>
        <w:jc w:val="center"/>
        <w:rPr>
          <w:rFonts w:ascii="Times New Roman" w:hAnsi="Times New Roman" w:cs="Times New Roman"/>
          <w:bCs/>
        </w:rPr>
      </w:pPr>
      <w:r w:rsidRPr="001C5AD1">
        <w:rPr>
          <w:rFonts w:ascii="Times New Roman" w:hAnsi="Times New Roman" w:cs="Times New Roman"/>
          <w:bCs/>
        </w:rPr>
        <w:t>Рисунок 1. (а) Распределение электрического поля неустойчивой дипольной моды в ускорительном модуле ЛИУ, (б) зависимости логарифма максимальной амплитуды колебаний полей неустойчивой дипольной моды от номера модуля ЛИУ</w:t>
      </w:r>
    </w:p>
    <w:p w14:paraId="792EF432" w14:textId="74C5F91A" w:rsidR="00AC3F78" w:rsidRPr="003D6896" w:rsidRDefault="009C3B5A">
      <w:p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</w:t>
      </w:r>
      <w:r w:rsidR="003D689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</w:t>
      </w:r>
      <w:r w:rsidRPr="003D689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:</w:t>
      </w:r>
      <w:r w:rsidRPr="003D6896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195B1F12" w14:textId="77777777" w:rsidR="00AC3F78" w:rsidRPr="00AC3F78" w:rsidRDefault="00AC3F78" w:rsidP="00AC3F78">
      <w:p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AC3F78">
        <w:rPr>
          <w:rFonts w:ascii="Times New Roman" w:hAnsi="Times New Roman" w:cs="Times New Roman"/>
          <w:color w:val="000000"/>
          <w:lang w:val="en-US"/>
        </w:rPr>
        <w:t xml:space="preserve">1) E. S. Sandalov et al., "Electrodynamic System of the Linear Induction Accelerator Module," in IEEE TPS, vol. 49, no. 2, pp. 718-728, Feb. 2021, </w:t>
      </w:r>
      <w:proofErr w:type="spellStart"/>
      <w:r w:rsidRPr="00AC3F78">
        <w:rPr>
          <w:rFonts w:ascii="Times New Roman" w:hAnsi="Times New Roman" w:cs="Times New Roman"/>
          <w:color w:val="000000"/>
          <w:lang w:val="en-US"/>
        </w:rPr>
        <w:t>doi</w:t>
      </w:r>
      <w:proofErr w:type="spellEnd"/>
      <w:r w:rsidRPr="00AC3F78">
        <w:rPr>
          <w:rFonts w:ascii="Times New Roman" w:hAnsi="Times New Roman" w:cs="Times New Roman"/>
          <w:color w:val="000000"/>
          <w:lang w:val="en-US"/>
        </w:rPr>
        <w:t>: 10.1109/TPS.2020.3045345.</w:t>
      </w:r>
    </w:p>
    <w:p w14:paraId="57C3C796" w14:textId="77777777" w:rsidR="00AC3F78" w:rsidRPr="00AC3F78" w:rsidRDefault="00AC3F78" w:rsidP="00AC3F78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AC3F78">
        <w:rPr>
          <w:rFonts w:ascii="Times New Roman" w:hAnsi="Times New Roman" w:cs="Times New Roman"/>
          <w:color w:val="000000"/>
        </w:rPr>
        <w:t xml:space="preserve">2) Е.С. Сандалов и др., Исследование инкремента поперечной неустойчивости </w:t>
      </w:r>
      <w:proofErr w:type="spellStart"/>
      <w:r w:rsidRPr="00AC3F78">
        <w:rPr>
          <w:rFonts w:ascii="Times New Roman" w:hAnsi="Times New Roman" w:cs="Times New Roman"/>
          <w:color w:val="000000"/>
        </w:rPr>
        <w:t>килоамперного</w:t>
      </w:r>
      <w:proofErr w:type="spellEnd"/>
      <w:r w:rsidRPr="00AC3F78">
        <w:rPr>
          <w:rFonts w:ascii="Times New Roman" w:hAnsi="Times New Roman" w:cs="Times New Roman"/>
          <w:color w:val="000000"/>
        </w:rPr>
        <w:t xml:space="preserve"> электронного пучка в ЛИУ для его применения в </w:t>
      </w:r>
      <w:proofErr w:type="spellStart"/>
      <w:r w:rsidRPr="00AC3F78">
        <w:rPr>
          <w:rFonts w:ascii="Times New Roman" w:hAnsi="Times New Roman" w:cs="Times New Roman"/>
          <w:color w:val="000000"/>
        </w:rPr>
        <w:t>терагерцовом</w:t>
      </w:r>
      <w:proofErr w:type="spellEnd"/>
      <w:r w:rsidRPr="00AC3F78">
        <w:rPr>
          <w:rFonts w:ascii="Times New Roman" w:hAnsi="Times New Roman" w:cs="Times New Roman"/>
          <w:color w:val="000000"/>
        </w:rPr>
        <w:t xml:space="preserve"> ЛСЭ, СФЖ, 2022, 17(2), </w:t>
      </w:r>
      <w:r>
        <w:rPr>
          <w:rFonts w:ascii="Times New Roman" w:hAnsi="Times New Roman" w:cs="Times New Roman"/>
          <w:color w:val="000000"/>
          <w:lang w:val="en-US"/>
        </w:rPr>
        <w:t>p</w:t>
      </w:r>
      <w:r w:rsidRPr="00AC3F78">
        <w:rPr>
          <w:rFonts w:ascii="Times New Roman" w:hAnsi="Times New Roman" w:cs="Times New Roman"/>
          <w:color w:val="000000"/>
        </w:rPr>
        <w:t xml:space="preserve">. 16-29. https://doi.org/10.25205/2541-9447-2022-17-2-16-29   </w:t>
      </w:r>
      <w:bookmarkStart w:id="0" w:name="_GoBack"/>
      <w:bookmarkEnd w:id="0"/>
    </w:p>
    <w:p w14:paraId="4DA94B92" w14:textId="77777777" w:rsidR="001C5AD1" w:rsidRDefault="00C34BB2" w:rsidP="003D689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5AD1">
        <w:rPr>
          <w:rFonts w:ascii="Times New Roman" w:hAnsi="Times New Roman" w:cs="Times New Roman"/>
          <w:sz w:val="24"/>
          <w:szCs w:val="24"/>
          <w:lang w:eastAsia="ar-SA"/>
        </w:rPr>
        <w:t>ПФНИ</w:t>
      </w:r>
      <w:r w:rsidR="001C5AD1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E214FF" w:rsidRPr="00AC3F7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214FF" w:rsidRPr="00B36C2E">
        <w:rPr>
          <w:rFonts w:ascii="Times New Roman" w:hAnsi="Times New Roman" w:cs="Times New Roman"/>
          <w:sz w:val="24"/>
          <w:szCs w:val="24"/>
        </w:rPr>
        <w:t xml:space="preserve">1.3.3.5. </w:t>
      </w:r>
      <w:r w:rsidR="00CB4AF2" w:rsidRPr="00CB4AF2">
        <w:rPr>
          <w:rFonts w:ascii="Times New Roman" w:hAnsi="Times New Roman" w:cs="Times New Roman"/>
          <w:sz w:val="24"/>
          <w:szCs w:val="24"/>
        </w:rPr>
        <w:t>(</w:t>
      </w:r>
      <w:r w:rsidR="00E214FF" w:rsidRPr="00B36C2E">
        <w:rPr>
          <w:rFonts w:ascii="Times New Roman" w:hAnsi="Times New Roman" w:cs="Times New Roman"/>
          <w:sz w:val="24"/>
          <w:szCs w:val="24"/>
        </w:rPr>
        <w:t>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 w:rsidR="00CB4AF2" w:rsidRPr="00CB4AF2">
        <w:rPr>
          <w:rFonts w:ascii="Times New Roman" w:hAnsi="Times New Roman" w:cs="Times New Roman"/>
          <w:sz w:val="24"/>
          <w:szCs w:val="24"/>
        </w:rPr>
        <w:t>)</w:t>
      </w:r>
      <w:r w:rsidR="009C3B5A" w:rsidRPr="00E214FF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14:paraId="0CCC9B5D" w14:textId="3EFAE28F" w:rsidR="00C34BB2" w:rsidRPr="00334814" w:rsidRDefault="009C3B5A" w:rsidP="003D689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грант</w:t>
      </w:r>
      <w:r w:rsidRPr="00E214F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РФФИ</w:t>
      </w:r>
      <w:r w:rsidRPr="00E214F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34814" w:rsidRPr="00334814">
        <w:rPr>
          <w:rFonts w:ascii="Times New Roman" w:hAnsi="Times New Roman" w:cs="Times New Roman"/>
          <w:sz w:val="24"/>
          <w:szCs w:val="24"/>
          <w:lang w:eastAsia="ar-SA"/>
        </w:rPr>
        <w:t>19-32-90057</w:t>
      </w:r>
      <w:r w:rsidR="001C5AD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sectPr w:rsidR="00C34BB2" w:rsidRPr="0033481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00A7"/>
    <w:multiLevelType w:val="hybridMultilevel"/>
    <w:tmpl w:val="5476B7C6"/>
    <w:lvl w:ilvl="0" w:tplc="AB600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C6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7C8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E1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0C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49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F85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9EC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A89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C6A7A"/>
    <w:rsid w:val="001C5AD1"/>
    <w:rsid w:val="00334814"/>
    <w:rsid w:val="003D6896"/>
    <w:rsid w:val="00763126"/>
    <w:rsid w:val="00832853"/>
    <w:rsid w:val="008F6115"/>
    <w:rsid w:val="009A60D5"/>
    <w:rsid w:val="009C3B5A"/>
    <w:rsid w:val="00A0501B"/>
    <w:rsid w:val="00AC3F78"/>
    <w:rsid w:val="00B33805"/>
    <w:rsid w:val="00C34BB2"/>
    <w:rsid w:val="00CB4AF2"/>
    <w:rsid w:val="00E214FF"/>
    <w:rsid w:val="00F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C3D2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8">
    <w:name w:val="Table Grid"/>
    <w:basedOn w:val="a1"/>
    <w:uiPriority w:val="39"/>
    <w:rsid w:val="00F8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D145-8A56-4FB9-95F9-202F1ED8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3</cp:revision>
  <dcterms:created xsi:type="dcterms:W3CDTF">2022-11-30T11:43:00Z</dcterms:created>
  <dcterms:modified xsi:type="dcterms:W3CDTF">2022-12-08T06:29:00Z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